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677" w:leader="none"/>
        </w:tabs>
        <w:rPr/>
      </w:pPr>
      <w:r>
        <w:rPr/>
      </w:r>
      <w:bookmarkStart w:id="0" w:name="_Hlk58327456"/>
      <w:bookmarkStart w:id="1" w:name="_Hlk58327456"/>
    </w:p>
    <w:p>
      <w:pPr>
        <w:pStyle w:val="Normal"/>
        <w:tabs>
          <w:tab w:val="left" w:pos="867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left" w:pos="867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Prezado Morador (a)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2"/>
          <w:szCs w:val="22"/>
        </w:rPr>
        <w:t>CONVOCAÇÃO</w:t>
      </w:r>
    </w:p>
    <w:p>
      <w:pPr>
        <w:pStyle w:val="Normal"/>
        <w:tabs>
          <w:tab w:val="left" w:pos="1155" w:leader="none"/>
        </w:tabs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ab/>
      </w:r>
    </w:p>
    <w:p>
      <w:pPr>
        <w:pStyle w:val="Normal"/>
        <w:tabs>
          <w:tab w:val="left" w:pos="8677" w:leader="none"/>
        </w:tabs>
        <w:jc w:val="both"/>
        <w:rPr/>
      </w:pPr>
      <w:r>
        <w:rPr>
          <w:rFonts w:cs="Tahoma" w:ascii="Tahoma" w:hAnsi="Tahoma"/>
          <w:sz w:val="22"/>
          <w:szCs w:val="22"/>
        </w:rPr>
        <w:t xml:space="preserve">A </w:t>
      </w:r>
      <w:r>
        <w:rPr>
          <w:rFonts w:cs="Tahoma" w:ascii="Tahoma" w:hAnsi="Tahoma"/>
          <w:b/>
          <w:bCs/>
          <w:sz w:val="22"/>
          <w:szCs w:val="22"/>
        </w:rPr>
        <w:t>Prefeitura Municipal de Espírito Santo do Pinhal</w:t>
      </w:r>
      <w:r>
        <w:rPr>
          <w:rFonts w:cs="Tahoma" w:ascii="Tahoma" w:hAnsi="Tahoma"/>
          <w:sz w:val="22"/>
          <w:szCs w:val="22"/>
        </w:rPr>
        <w:t xml:space="preserve"> e o </w:t>
      </w:r>
      <w:r>
        <w:rPr>
          <w:rFonts w:cs="Tahoma" w:ascii="Tahoma" w:hAnsi="Tahoma"/>
          <w:b/>
          <w:bCs/>
          <w:sz w:val="22"/>
          <w:szCs w:val="22"/>
        </w:rPr>
        <w:t xml:space="preserve">Programa Cidade Legal </w:t>
      </w:r>
      <w:r>
        <w:rPr>
          <w:rFonts w:cs="Tahoma" w:ascii="Tahoma" w:hAnsi="Tahoma"/>
          <w:b/>
          <w:bCs/>
          <w:color w:val="FF0000"/>
          <w:sz w:val="22"/>
          <w:szCs w:val="22"/>
        </w:rPr>
        <w:t>CONVOCAM</w:t>
      </w:r>
      <w:r>
        <w:rPr>
          <w:rFonts w:cs="Tahoma" w:ascii="Tahoma" w:hAnsi="Tahoma"/>
          <w:sz w:val="22"/>
          <w:szCs w:val="22"/>
        </w:rPr>
        <w:t xml:space="preserve"> você proprietário do imóvel do </w:t>
      </w:r>
      <w:r>
        <w:rPr>
          <w:rFonts w:eastAsia="Times New Roman" w:cs="Tahoma" w:ascii="Tahoma" w:hAnsi="Tahoma"/>
          <w:b/>
          <w:color w:val="00000A"/>
          <w:sz w:val="22"/>
          <w:szCs w:val="22"/>
          <w:u w:val="single"/>
          <w:lang w:eastAsia="pt-BR"/>
        </w:rPr>
        <w:t xml:space="preserve">Jardim </w:t>
      </w:r>
      <w:r>
        <w:rPr>
          <w:rFonts w:cs="Tahoma" w:ascii="Tahoma" w:hAnsi="Tahoma"/>
          <w:b/>
          <w:sz w:val="22"/>
          <w:szCs w:val="22"/>
          <w:u w:val="single"/>
        </w:rPr>
        <w:t>Vila Nova</w:t>
      </w:r>
      <w:r>
        <w:rPr>
          <w:rFonts w:cs="Tahoma" w:ascii="Tahoma" w:hAnsi="Tahoma"/>
          <w:b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para regularização fundiária do seu lote.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O </w:t>
      </w:r>
      <w:r>
        <w:rPr>
          <w:rFonts w:cs="Tahoma" w:ascii="Tahoma" w:hAnsi="Tahoma"/>
          <w:b/>
          <w:bCs/>
          <w:color w:val="auto"/>
          <w:sz w:val="22"/>
          <w:szCs w:val="22"/>
        </w:rPr>
        <w:t xml:space="preserve">Programa de Regularização Fundiária </w:t>
      </w:r>
      <w:r>
        <w:rPr>
          <w:rFonts w:cs="Tahoma" w:ascii="Tahoma" w:hAnsi="Tahoma"/>
          <w:color w:val="auto"/>
          <w:sz w:val="22"/>
          <w:szCs w:val="22"/>
        </w:rPr>
        <w:t>tem como objetivo legalizar a posse / propriedade dos moradores de áreas em situação de irregularidade. Chamamos de moradia irregular aquela em que o morador não tem garantia ou segurança jurídica sobre a sua condição de habitação, ou seja, não possui a escritura/ matrícula do imóvel registrada em cartório.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O processo de regularização tem várias etapas e o cadastramento social é uma delas, que tem como objetivo juntar as documentações pessoais e do lote para encaminhar para o cartório.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2"/>
          <w:szCs w:val="22"/>
        </w:rPr>
        <w:t>A EQUIPE DE CADASTRAMENTO SOCIAL REALIZARÁ O CADASTRAMENTO NA SUA CASA!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auto"/>
          <w:sz w:val="28"/>
          <w:szCs w:val="28"/>
        </w:rPr>
      </w:pPr>
      <w:r>
        <w:rPr>
          <w:rFonts w:cs="Tahoma" w:ascii="Tahoma" w:hAnsi="Tahoma"/>
          <w:b/>
          <w:bCs/>
          <w:color w:val="auto"/>
          <w:sz w:val="28"/>
          <w:szCs w:val="28"/>
        </w:rPr>
        <w:t>Do dia 08 a 12/09/2021</w:t>
      </w:r>
    </w:p>
    <w:p>
      <w:pPr>
        <w:pStyle w:val="Textbody"/>
        <w:spacing w:beforeAutospacing="0" w:before="0" w:afterAutospacing="0" w:after="0"/>
        <w:jc w:val="center"/>
        <w:textAlignment w:val="baseline"/>
        <w:rPr>
          <w:rFonts w:ascii="Tahoma" w:hAnsi="Tahoma" w:cs="Tahoma"/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</w:r>
    </w:p>
    <w:p>
      <w:pPr>
        <w:pStyle w:val="Textbody"/>
        <w:spacing w:beforeAutospacing="0" w:before="0" w:afterAutospacing="0" w:after="0"/>
        <w:jc w:val="center"/>
        <w:textAlignment w:val="baseline"/>
        <w:rPr/>
      </w:pP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  <w:t>(19) 3661-5240 - Departamento de Habitação – Prefeitura Municipal de Espírito Santo do Pinhal/SP</w:t>
      </w:r>
    </w:p>
    <w:p>
      <w:pPr>
        <w:pStyle w:val="Textbody"/>
        <w:spacing w:beforeAutospacing="0" w:before="0" w:afterAutospacing="0" w:after="0"/>
        <w:jc w:val="center"/>
        <w:textAlignment w:val="baseline"/>
        <w:rPr>
          <w:rFonts w:ascii="Tahoma" w:hAnsi="Tahoma" w:cs="Tahoma"/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139700</wp:posOffset>
                </wp:positionH>
                <wp:positionV relativeFrom="paragraph">
                  <wp:posOffset>231140</wp:posOffset>
                </wp:positionV>
                <wp:extent cx="6167755" cy="2934335"/>
                <wp:effectExtent l="0" t="0" r="0" b="0"/>
                <wp:wrapNone/>
                <wp:docPr id="1" name="Fluxograma: Processo Alternativ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60" cy="2933640"/>
                        </a:xfrm>
                        <a:prstGeom prst="flowChartAlternateProcess">
                          <a:avLst/>
                        </a:prstGeom>
                        <a:solidFill>
                          <a:srgbClr val="ffe599"/>
                        </a:solidFill>
                        <a:ln w="5724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Fluxograma: Processo Alternativo 10" fillcolor="#ffe599" stroked="t" style="position:absolute;margin-left:11pt;margin-top:18.2pt;width:485.55pt;height:230.95pt" type="shapetype_176">
                <w10:wrap type="none"/>
                <v:fill o:detectmouseclick="t" type="solid" color2="#001a66"/>
                <v:stroke color="#c00000" weight="57240" joinstyle="miter" endcap="flat"/>
              </v:shape>
            </w:pict>
          </mc:Fallback>
        </mc:AlternateContent>
      </w:r>
    </w:p>
    <w:p>
      <w:pPr>
        <w:pStyle w:val="Normal"/>
        <w:tabs>
          <w:tab w:val="left" w:pos="6420" w:leader="none"/>
        </w:tabs>
        <w:ind w:left="708" w:hanging="0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tabs>
          <w:tab w:val="left" w:pos="6420" w:leader="none"/>
        </w:tabs>
        <w:ind w:left="708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sz w:val="22"/>
          <w:szCs w:val="22"/>
        </w:rPr>
        <w:t>Documentos necessários para o preenchimento do cadastro:</w:t>
      </w:r>
    </w:p>
    <w:p>
      <w:pPr>
        <w:pStyle w:val="Normal"/>
        <w:tabs>
          <w:tab w:val="left" w:pos="8677" w:leader="none"/>
        </w:tabs>
        <w:ind w:left="70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RG e CPF (Caso seja casado, </w:t>
      </w:r>
      <w:r>
        <w:rPr>
          <w:rFonts w:cs="Tahoma" w:ascii="Tahoma" w:hAnsi="Tahoma"/>
          <w:b/>
          <w:bCs/>
          <w:color w:val="auto"/>
          <w:sz w:val="22"/>
          <w:szCs w:val="22"/>
        </w:rPr>
        <w:t>documentos de ambos</w:t>
      </w:r>
      <w:r>
        <w:rPr>
          <w:rFonts w:cs="Tahoma" w:ascii="Tahoma" w:hAnsi="Tahoma"/>
          <w:color w:val="auto"/>
          <w:sz w:val="22"/>
          <w:szCs w:val="22"/>
        </w:rPr>
        <w:t>);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Certidão de casamento ou óbito (caso seja casado ou viúvo(a));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/>
      </w:pPr>
      <w:r>
        <w:rPr>
          <w:rFonts w:cs="Tahoma" w:ascii="Tahoma" w:hAnsi="Tahoma"/>
          <w:color w:val="auto"/>
          <w:sz w:val="22"/>
          <w:szCs w:val="22"/>
        </w:rPr>
        <w:t xml:space="preserve">Pacto Antenupcial 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Formal de Partilha (se divorciado)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1 Comprovante de residência </w:t>
      </w:r>
      <w:r>
        <w:rPr>
          <w:rFonts w:cs="Tahoma" w:ascii="Tahoma" w:hAnsi="Tahoma"/>
          <w:b/>
          <w:bCs/>
          <w:color w:val="auto"/>
          <w:sz w:val="22"/>
          <w:szCs w:val="22"/>
        </w:rPr>
        <w:t>anterior</w:t>
      </w:r>
      <w:r>
        <w:rPr>
          <w:rFonts w:cs="Tahoma" w:ascii="Tahoma" w:hAnsi="Tahoma"/>
          <w:color w:val="auto"/>
          <w:sz w:val="22"/>
          <w:szCs w:val="22"/>
        </w:rPr>
        <w:t xml:space="preserve"> ao ano de 2016;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1 Comprovante de residência </w:t>
      </w:r>
      <w:r>
        <w:rPr>
          <w:rFonts w:cs="Tahoma" w:ascii="Tahoma" w:hAnsi="Tahoma"/>
          <w:b/>
          <w:bCs/>
          <w:color w:val="auto"/>
          <w:sz w:val="22"/>
          <w:szCs w:val="22"/>
        </w:rPr>
        <w:t>atual</w:t>
      </w:r>
      <w:r>
        <w:rPr>
          <w:rFonts w:cs="Tahoma" w:ascii="Tahoma" w:hAnsi="Tahoma"/>
          <w:color w:val="auto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Carne do IPTU 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Comprovante de aquisição do lote (contrato de compra e venda, declarações, </w:t>
      </w:r>
    </w:p>
    <w:p>
      <w:pPr>
        <w:pStyle w:val="Normal"/>
        <w:suppressAutoHyphens w:val="false"/>
        <w:spacing w:lineRule="auto" w:line="360" w:before="0" w:after="0"/>
        <w:ind w:left="360" w:hanging="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recibos ou outros);</w:t>
      </w:r>
    </w:p>
    <w:p>
      <w:pPr>
        <w:pStyle w:val="Normal"/>
        <w:suppressAutoHyphens w:val="false"/>
        <w:spacing w:lineRule="auto" w:line="360" w:before="0" w:after="0"/>
        <w:ind w:left="708" w:hanging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auto"/>
          <w:sz w:val="22"/>
          <w:szCs w:val="22"/>
        </w:rPr>
        <w:t>Obs.:</w:t>
      </w:r>
      <w:r>
        <w:rPr>
          <w:rFonts w:cs="Tahoma" w:ascii="Tahoma" w:hAnsi="Tahoma"/>
          <w:color w:val="auto"/>
          <w:sz w:val="22"/>
          <w:szCs w:val="22"/>
        </w:rPr>
        <w:t xml:space="preserve"> Caso o imóvel seja alugado, por favor informar o proprietário ou imobiliária</w:t>
      </w:r>
      <w:r>
        <w:rPr>
          <w:rFonts w:cs="Tahoma" w:ascii="Tahoma" w:hAnsi="Tahoma"/>
          <w:color w:val="auto"/>
        </w:rPr>
        <w:t>.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bCs/>
          <w:color w:val="000000" w:themeColor="text1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bCs/>
          <w:color w:val="000000" w:themeColor="text1"/>
          <w:sz w:val="22"/>
          <w:szCs w:val="22"/>
        </w:rPr>
        <w:t>Seu cadastramento é muito importante!</w:t>
      </w:r>
    </w:p>
    <w:p>
      <w:pPr>
        <w:pStyle w:val="Normal"/>
        <w:tabs>
          <w:tab w:val="left" w:pos="8677" w:leader="none"/>
        </w:tabs>
        <w:jc w:val="center"/>
        <w:rPr/>
      </w:pPr>
      <w:r>
        <w:drawing>
          <wp:anchor behindDoc="1" distT="0" distB="2540" distL="114300" distR="123190" simplePos="0" locked="0" layoutInCell="1" allowOverlap="1" relativeHeight="6">
            <wp:simplePos x="0" y="0"/>
            <wp:positionH relativeFrom="margin">
              <wp:posOffset>2971800</wp:posOffset>
            </wp:positionH>
            <wp:positionV relativeFrom="paragraph">
              <wp:posOffset>481330</wp:posOffset>
            </wp:positionV>
            <wp:extent cx="523875" cy="588010"/>
            <wp:effectExtent l="0" t="0" r="0" b="0"/>
            <wp:wrapNone/>
            <wp:docPr id="2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b/>
          <w:bCs/>
          <w:color w:val="FF0000"/>
          <w:sz w:val="24"/>
          <w:szCs w:val="24"/>
        </w:rPr>
        <w:t>S</w:t>
      </w:r>
      <w:r>
        <w:rPr>
          <w:rFonts w:cs="Tahoma" w:ascii="Tahoma" w:hAnsi="Tahoma"/>
          <w:b/>
          <w:bCs/>
          <w:color w:val="FF0000"/>
          <w:sz w:val="24"/>
          <w:szCs w:val="24"/>
        </w:rPr>
        <w:t>OLICITAMOS A GENTILEZA DE RECEBER O CADASTRADOR UTILIZANDO MÁSCARA E COM OS DOCUMENTOS SEPARADOS.</w:t>
      </w:r>
      <w:bookmarkEnd w:id="1"/>
    </w:p>
    <w:sectPr>
      <w:headerReference w:type="default" r:id="rId3"/>
      <w:footerReference w:type="default" r:id="rId4"/>
      <w:type w:val="nextPage"/>
      <w:pgSz w:w="11906" w:h="16838"/>
      <w:pgMar w:left="720" w:right="720" w:header="1020" w:top="1077" w:footer="397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left" w:pos="7545" w:leader="none"/>
        <w:tab w:val="right" w:pos="8504" w:leader="none"/>
      </w:tabs>
      <w:rPr/>
    </w:pPr>
    <w:r>
      <w:rPr/>
    </w:r>
  </w:p>
  <w:p>
    <w:pPr>
      <w:pStyle w:val="Rodap"/>
      <w:tabs>
        <w:tab w:val="center" w:pos="4252" w:leader="none"/>
        <w:tab w:val="left" w:pos="7545" w:leader="none"/>
        <w:tab w:val="right" w:pos="8504" w:leader="none"/>
      </w:tabs>
      <w:rPr/>
    </w:pPr>
    <w:r>
      <w:rPr/>
      <w:drawing>
        <wp:anchor behindDoc="1" distT="0" distB="6350" distL="114300" distR="116205" simplePos="0" locked="0" layoutInCell="1" allowOverlap="1" relativeHeight="5">
          <wp:simplePos x="0" y="0"/>
          <wp:positionH relativeFrom="margin">
            <wp:posOffset>-81915</wp:posOffset>
          </wp:positionH>
          <wp:positionV relativeFrom="paragraph">
            <wp:posOffset>57150</wp:posOffset>
          </wp:positionV>
          <wp:extent cx="1350645" cy="679450"/>
          <wp:effectExtent l="0" t="0" r="0" b="0"/>
          <wp:wrapNone/>
          <wp:docPr id="6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enter" w:pos="4252" w:leader="none"/>
        <w:tab w:val="left" w:pos="7545" w:leader="none"/>
        <w:tab w:val="right" w:pos="8504" w:leader="none"/>
      </w:tabs>
      <w:jc w:val="right"/>
      <w:rPr/>
    </w:pPr>
    <w:r>
      <w:rPr/>
      <w:drawing>
        <wp:inline distT="0" distB="0" distL="0" distR="0">
          <wp:extent cx="2190750" cy="459740"/>
          <wp:effectExtent l="0" t="0" r="0" b="0"/>
          <wp:docPr id="7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tabs>
        <w:tab w:val="center" w:pos="4252" w:leader="none"/>
        <w:tab w:val="left" w:pos="7545" w:leader="none"/>
        <w:tab w:val="right" w:pos="8504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685" w:leader="none"/>
        <w:tab w:val="center" w:pos="4252" w:leader="none"/>
        <w:tab w:val="right" w:pos="8504" w:leader="none"/>
      </w:tabs>
      <w:jc w:val="right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-132080</wp:posOffset>
              </wp:positionH>
              <wp:positionV relativeFrom="paragraph">
                <wp:posOffset>506730</wp:posOffset>
              </wp:positionV>
              <wp:extent cx="4535805" cy="1905"/>
              <wp:effectExtent l="0" t="0" r="0" b="0"/>
              <wp:wrapNone/>
              <wp:docPr id="3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5280" cy="144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4pt,39.9pt" to="346.65pt,39.95pt" ID="Conector reto 3" stroked="t" style="position:absolute">
              <v:stroke color="black" joinstyle="round" endcap="flat"/>
              <v:fill o:detectmouseclick="t" on="false"/>
            </v:line>
          </w:pict>
        </mc:Fallback>
      </mc:AlternateContent>
      <w:drawing>
        <wp:anchor behindDoc="1" distT="0" distB="0" distL="114300" distR="123190" simplePos="0" locked="0" layoutInCell="1" allowOverlap="1" relativeHeight="4">
          <wp:simplePos x="0" y="0"/>
          <wp:positionH relativeFrom="column">
            <wp:posOffset>4445</wp:posOffset>
          </wp:positionH>
          <wp:positionV relativeFrom="paragraph">
            <wp:posOffset>-316230</wp:posOffset>
          </wp:positionV>
          <wp:extent cx="752475" cy="591820"/>
          <wp:effectExtent l="0" t="0" r="0" b="0"/>
          <wp:wrapSquare wrapText="bothSides"/>
          <wp:docPr id="4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5394325</wp:posOffset>
          </wp:positionH>
          <wp:positionV relativeFrom="paragraph">
            <wp:posOffset>-487680</wp:posOffset>
          </wp:positionV>
          <wp:extent cx="674370" cy="578485"/>
          <wp:effectExtent l="0" t="0" r="0" b="0"/>
          <wp:wrapNone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1" t="-22" r="-21" b="-22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</w:r>
  </w:p>
  <w:p>
    <w:pPr>
      <w:pStyle w:val="Cabealho"/>
      <w:tabs>
        <w:tab w:val="left" w:pos="2685" w:leader="none"/>
        <w:tab w:val="center" w:pos="4252" w:leader="none"/>
        <w:tab w:val="right" w:pos="8504" w:leader="none"/>
      </w:tabs>
      <w:jc w:val="right"/>
      <w:rPr/>
    </w:pPr>
    <w:r>
      <w:rPr>
        <w:rFonts w:cs="Tahoma" w:ascii="Times New Roman" w:hAnsi="Times New Roman"/>
        <w:b/>
        <w:bCs/>
        <w:sz w:val="24"/>
        <w:szCs w:val="24"/>
      </w:rPr>
      <w:t>MUNICÍPIO DE ESPÍRITO</w:t>
    </w:r>
  </w:p>
  <w:p>
    <w:pPr>
      <w:pStyle w:val="Cabealho"/>
      <w:tabs>
        <w:tab w:val="left" w:pos="2685" w:leader="none"/>
        <w:tab w:val="center" w:pos="4252" w:leader="none"/>
        <w:tab w:val="right" w:pos="8504" w:leader="none"/>
      </w:tabs>
      <w:jc w:val="right"/>
      <w:rPr/>
    </w:pPr>
    <w:r>
      <w:rPr>
        <w:rFonts w:cs="Tahoma" w:ascii="Times New Roman" w:hAnsi="Times New Roman"/>
        <w:b/>
        <w:bCs/>
        <w:sz w:val="24"/>
        <w:szCs w:val="24"/>
      </w:rPr>
      <w:t xml:space="preserve">   </w:t>
    </w:r>
    <w:r>
      <w:rPr>
        <w:rFonts w:cs="Tahoma" w:ascii="Times New Roman" w:hAnsi="Times New Roman"/>
        <w:b/>
        <w:bCs/>
        <w:sz w:val="24"/>
        <w:szCs w:val="24"/>
      </w:rPr>
      <w:t>SANTO DO PINHAL</w:t>
      <w:tab/>
      <w:t xml:space="preserve"> </w:t>
    </w:r>
  </w:p>
  <w:p>
    <w:pPr>
      <w:pStyle w:val="Cabealho"/>
      <w:tabs>
        <w:tab w:val="left" w:pos="2685" w:leader="none"/>
        <w:tab w:val="center" w:pos="4252" w:leader="none"/>
        <w:tab w:val="right" w:pos="8504" w:leader="none"/>
      </w:tabs>
      <w:jc w:val="right"/>
      <w:rPr/>
    </w:pPr>
    <w:r>
      <w:rPr>
        <w:rFonts w:cs="Tahoma" w:ascii="Times New Roman" w:hAnsi="Times New Roman"/>
        <w:b/>
        <w:bCs/>
        <w:sz w:val="24"/>
        <w:szCs w:val="24"/>
      </w:rPr>
      <w:t xml:space="preserve">                                                     </w:t>
    </w:r>
    <w:r>
      <w:rPr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a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79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c7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8fb"/>
    <w:pPr>
      <w:suppressAutoHyphens w:val="false"/>
      <w:spacing w:before="240" w:after="60"/>
      <w:outlineLvl w:val="7"/>
    </w:pPr>
    <w:rPr>
      <w:rFonts w:ascii="Calibri" w:hAnsi="Calibri"/>
      <w:i/>
      <w:iCs/>
      <w:color w:val="auto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32d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32d3d"/>
    <w:rPr/>
  </w:style>
  <w:style w:type="character" w:styleId="CorpodetextoChar" w:customStyle="1">
    <w:name w:val="Corpo de texto Char"/>
    <w:basedOn w:val="DefaultParagraphFont"/>
    <w:link w:val="Corpodetexto"/>
    <w:qFormat/>
    <w:rsid w:val="0086048b"/>
    <w:rPr>
      <w:rFonts w:ascii="Times New Roman" w:hAnsi="Times New Roman" w:eastAsia="Times New Roman" w:cs="Times New Roman"/>
      <w:color w:val="00000A"/>
      <w:sz w:val="20"/>
      <w:szCs w:val="20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4f385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432c01"/>
    <w:rPr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e348fb"/>
    <w:rPr>
      <w:rFonts w:ascii="Calibri" w:hAnsi="Calibri" w:eastAsia="Times New Roman" w:cs="Times New Roman"/>
      <w:i/>
      <w:iCs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3cb8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f479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d54c7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Wingdings"/>
    </w:rPr>
  </w:style>
  <w:style w:type="character" w:styleId="ListLabel5">
    <w:name w:val="ListLabel 5"/>
    <w:qFormat/>
    <w:rPr>
      <w:rFonts w:eastAsia="Wingdings"/>
    </w:rPr>
  </w:style>
  <w:style w:type="character" w:styleId="ListLabel6">
    <w:name w:val="ListLabel 6"/>
    <w:qFormat/>
    <w:rPr>
      <w:rFonts w:eastAsia="Wingdings"/>
    </w:rPr>
  </w:style>
  <w:style w:type="character" w:styleId="ListLabel7">
    <w:name w:val="ListLabel 7"/>
    <w:qFormat/>
    <w:rPr>
      <w:rFonts w:eastAsia="Wingdings"/>
    </w:rPr>
  </w:style>
  <w:style w:type="character" w:styleId="ListLabel8">
    <w:name w:val="ListLabel 8"/>
    <w:qFormat/>
    <w:rPr>
      <w:rFonts w:eastAsia="Wingdings"/>
    </w:rPr>
  </w:style>
  <w:style w:type="character" w:styleId="ListLabel9">
    <w:name w:val="ListLabel 9"/>
    <w:qFormat/>
    <w:rPr>
      <w:rFonts w:eastAsia="Wingdings"/>
    </w:rPr>
  </w:style>
  <w:style w:type="character" w:styleId="ListLabel10">
    <w:name w:val="ListLabel 10"/>
    <w:qFormat/>
    <w:rPr>
      <w:rFonts w:eastAsia="Wingdings"/>
    </w:rPr>
  </w:style>
  <w:style w:type="character" w:styleId="ListLabel11">
    <w:name w:val="ListLabel 11"/>
    <w:qFormat/>
    <w:rPr>
      <w:rFonts w:eastAsia="Wingdings"/>
    </w:rPr>
  </w:style>
  <w:style w:type="character" w:styleId="ListLabel12">
    <w:name w:val="ListLabel 12"/>
    <w:qFormat/>
    <w:rPr>
      <w:rFonts w:eastAsia="Wingdings"/>
      <w:b w:val="false"/>
      <w:i w:val="false"/>
    </w:rPr>
  </w:style>
  <w:style w:type="character" w:styleId="ListLabel13">
    <w:name w:val="ListLabel 13"/>
    <w:qFormat/>
    <w:rPr>
      <w:rFonts w:eastAsia="Wingdings"/>
    </w:rPr>
  </w:style>
  <w:style w:type="character" w:styleId="ListLabel14">
    <w:name w:val="ListLabel 14"/>
    <w:qFormat/>
    <w:rPr>
      <w:rFonts w:eastAsia="Wingdings"/>
    </w:rPr>
  </w:style>
  <w:style w:type="character" w:styleId="ListLabel15">
    <w:name w:val="ListLabel 15"/>
    <w:qFormat/>
    <w:rPr>
      <w:rFonts w:eastAsia="Wingdings"/>
    </w:rPr>
  </w:style>
  <w:style w:type="character" w:styleId="ListLabel16">
    <w:name w:val="ListLabel 16"/>
    <w:qFormat/>
    <w:rPr>
      <w:rFonts w:eastAsia="Wingdings"/>
    </w:rPr>
  </w:style>
  <w:style w:type="character" w:styleId="ListLabel17">
    <w:name w:val="ListLabel 17"/>
    <w:qFormat/>
    <w:rPr>
      <w:rFonts w:eastAsia="Wingdings"/>
    </w:rPr>
  </w:style>
  <w:style w:type="character" w:styleId="ListLabel18">
    <w:name w:val="ListLabel 18"/>
    <w:qFormat/>
    <w:rPr>
      <w:rFonts w:eastAsia="Wingdings"/>
    </w:rPr>
  </w:style>
  <w:style w:type="character" w:styleId="ListLabel19">
    <w:name w:val="ListLabel 19"/>
    <w:qFormat/>
    <w:rPr>
      <w:rFonts w:eastAsia="Wingdings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Times New Roman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Aria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ascii="Tahoma" w:hAnsi="Tahoma" w:cs="Wingdings"/>
      <w:sz w:val="22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86048b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532d3d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32d3d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32d3d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86048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0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054a35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3cb8"/>
    <w:pPr/>
    <w:rPr>
      <w:rFonts w:ascii="Segoe UI" w:hAnsi="Segoe UI" w:cs="Segoe UI"/>
      <w:sz w:val="18"/>
      <w:szCs w:val="18"/>
    </w:rPr>
  </w:style>
  <w:style w:type="paragraph" w:styleId="Textbody" w:customStyle="1">
    <w:name w:val="textbody"/>
    <w:basedOn w:val="Normal"/>
    <w:qFormat/>
    <w:rsid w:val="002d0216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Standard1" w:customStyle="1">
    <w:name w:val="standard"/>
    <w:basedOn w:val="Normal"/>
    <w:qFormat/>
    <w:rsid w:val="002d0216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4E6B-5493-42D5-93D7-2D5B5767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LibreOffice/6.0.4.2$Windows_X86_64 LibreOffice_project/9b0d9b32d5dcda91d2f1a96dc04c645c450872bf</Application>
  <Pages>1</Pages>
  <Words>255</Words>
  <Characters>1367</Characters>
  <CharactersWithSpaces>1664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2021-08-06T14:09:00Z</dcterms:created>
  <dc:creator>Fábio Sallasar Nucci</dc:creator>
  <dc:description/>
  <dc:language>pt-BR</dc:language>
  <cp:lastModifiedBy/>
  <cp:lastPrinted>2021-08-27T08:44:50Z</cp:lastPrinted>
  <dcterms:modified xsi:type="dcterms:W3CDTF">2021-08-27T08:43:48Z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